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0D549" w14:textId="77777777" w:rsidR="00B31EA9" w:rsidRDefault="00B31EA9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1AE32285" w14:textId="6970DDF7" w:rsidR="00B31EA9" w:rsidRPr="00D8084F" w:rsidRDefault="00B31EA9" w:rsidP="00B31EA9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7E0B07">
        <w:rPr>
          <w:rFonts w:ascii="方正小标宋简体" w:eastAsia="方正小标宋简体" w:hAnsi="Calibri" w:cstheme="minorBidi" w:hint="eastAsia"/>
          <w:sz w:val="28"/>
          <w:szCs w:val="28"/>
        </w:rPr>
        <w:t>24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324"/>
      </w:tblGrid>
      <w:tr w:rsidR="00DC0304" w:rsidRPr="00DC0304" w14:paraId="15A389D3" w14:textId="77777777" w:rsidTr="00147A72">
        <w:tc>
          <w:tcPr>
            <w:tcW w:w="1555" w:type="dxa"/>
            <w:vAlign w:val="center"/>
          </w:tcPr>
          <w:p w14:paraId="33892EE7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gridSpan w:val="2"/>
            <w:vAlign w:val="center"/>
          </w:tcPr>
          <w:p w14:paraId="30D9266A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</w:rPr>
              <w:t>新华三技术有限公司</w:t>
            </w:r>
          </w:p>
        </w:tc>
      </w:tr>
      <w:tr w:rsidR="00DC0304" w:rsidRPr="00DC0304" w14:paraId="1B521228" w14:textId="77777777" w:rsidTr="00147A72">
        <w:tc>
          <w:tcPr>
            <w:tcW w:w="1555" w:type="dxa"/>
            <w:vAlign w:val="center"/>
          </w:tcPr>
          <w:p w14:paraId="38BC2CC7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gridSpan w:val="2"/>
            <w:vAlign w:val="center"/>
          </w:tcPr>
          <w:p w14:paraId="260EA80F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</w:rPr>
              <w:t>国产高性能网络Roce应用</w:t>
            </w:r>
          </w:p>
        </w:tc>
      </w:tr>
      <w:tr w:rsidR="00DC0304" w:rsidRPr="00DC0304" w14:paraId="56906916" w14:textId="77777777" w:rsidTr="00147A72">
        <w:tc>
          <w:tcPr>
            <w:tcW w:w="1555" w:type="dxa"/>
            <w:vMerge w:val="restart"/>
            <w:vAlign w:val="center"/>
          </w:tcPr>
          <w:p w14:paraId="368F3FAE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  <w:gridSpan w:val="2"/>
          </w:tcPr>
          <w:p w14:paraId="308AC410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sz w:val="21"/>
                <w:szCs w:val="21"/>
              </w:rPr>
              <w:t>随着云计算、人工智能、大数据和高性能计算等领域的迅猛发展，网络通信技术的性能需求不断提升。国产高性能网络RoCE（RDMA over Converged Ethernet）作为一种新兴的网络通信技术，其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高带宽、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低延迟、高可靠性的特点逐渐受到业界的广泛关注。云计算、人工智能、大数据以及高性能计算等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场景均有应用</w:t>
            </w:r>
          </w:p>
        </w:tc>
      </w:tr>
      <w:tr w:rsidR="00DC0304" w:rsidRPr="00DC0304" w14:paraId="3834D0CE" w14:textId="77777777" w:rsidTr="00147A72">
        <w:tc>
          <w:tcPr>
            <w:tcW w:w="1555" w:type="dxa"/>
            <w:vMerge/>
            <w:vAlign w:val="center"/>
          </w:tcPr>
          <w:p w14:paraId="7D1C5192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6741" w:type="dxa"/>
            <w:gridSpan w:val="2"/>
          </w:tcPr>
          <w:p w14:paraId="42725369" w14:textId="77777777" w:rsidR="00DC0304" w:rsidRPr="00DC0304" w:rsidRDefault="00DC0304" w:rsidP="00DC0304">
            <w:pPr>
              <w:numPr>
                <w:ilvl w:val="0"/>
                <w:numId w:val="1"/>
              </w:numPr>
              <w:snapToGrid/>
              <w:spacing w:line="240" w:lineRule="auto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</w:rPr>
              <w:t>网络虚拟化技术：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通过软件来模拟物理网络环境，使得多个虚拟网络共享一组物理网络资源，可以提高资源利用率、简化网络管理和提高网络安全性常见的网络虚拟化技术包括VLAN、VXLAN、NVGRE和SR-IOV。</w:t>
            </w:r>
          </w:p>
          <w:p w14:paraId="36F6C946" w14:textId="77777777" w:rsidR="00DC0304" w:rsidRPr="00DC0304" w:rsidRDefault="00DC0304" w:rsidP="00DC0304">
            <w:pPr>
              <w:numPr>
                <w:ilvl w:val="0"/>
                <w:numId w:val="1"/>
              </w:numPr>
              <w:snapToGrid/>
              <w:spacing w:line="240" w:lineRule="auto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sz w:val="21"/>
                <w:szCs w:val="21"/>
              </w:rPr>
              <w:t>远程直接内存访问（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RDMA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）技术：使网络上的两个设备，如主机或存储系统，直接在对方的内存中进行数据传输而不需要CPU的干预，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以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减少网络延迟和CPU负载，提高数据传输效率。</w:t>
            </w:r>
          </w:p>
          <w:p w14:paraId="34944C03" w14:textId="77777777" w:rsidR="00DC0304" w:rsidRPr="00DC0304" w:rsidRDefault="00DC0304" w:rsidP="00DC0304">
            <w:pPr>
              <w:numPr>
                <w:ilvl w:val="0"/>
                <w:numId w:val="1"/>
              </w:numPr>
              <w:snapToGrid/>
              <w:spacing w:line="240" w:lineRule="auto"/>
              <w:ind w:firstLineChars="0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sz w:val="21"/>
                <w:szCs w:val="21"/>
              </w:rPr>
              <w:t>软件定义网络（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SDN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）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技术：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将网络的控制平面与数据平面分离，使网络可以通过软件来进行配置和管理。SDN可以提高网络灵活性，降低成本，提供更好的安全性和可扩展性。</w:t>
            </w:r>
          </w:p>
        </w:tc>
      </w:tr>
      <w:tr w:rsidR="00DC0304" w:rsidRPr="00DC0304" w14:paraId="4AEC72D9" w14:textId="77777777" w:rsidTr="00147A72">
        <w:tc>
          <w:tcPr>
            <w:tcW w:w="1555" w:type="dxa"/>
            <w:vMerge w:val="restart"/>
            <w:vAlign w:val="center"/>
          </w:tcPr>
          <w:p w14:paraId="708A3977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01CB75C2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命题背景</w:t>
            </w:r>
          </w:p>
        </w:tc>
        <w:tc>
          <w:tcPr>
            <w:tcW w:w="5324" w:type="dxa"/>
          </w:tcPr>
          <w:p w14:paraId="757139C3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/>
                <w:sz w:val="21"/>
                <w:szCs w:val="21"/>
              </w:rPr>
              <w:t>目前，云计算、人工智能、大数据以及高性能计算等尖端科技领域，广泛采用FC（光纤通道）和IB（InfiniBand）网络来满足其高速、高效的数据传输需求。然而，随着数据中心规模的急剧扩大，传统的以太网数据传输方式逐渐暴露出性能瓶颈和技术挑战。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为了提高网络传输性能，业界提出了RoCE（RDMA over Converged Ethernet）技术。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RoCE技术将RDMA的远程直接内存访问能力引入以太网，实现了在以太网架构上的高性能数据传输。与传统的网络通信方式相比，国产高性能网络RoCE具备显著的优势：它拥有更高的带宽、更低的延迟以及更可靠的数据传输性能。这些特性使得RoCE技术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对于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推动云计算、人工智能、大数据和高性能计算等领域发展具有重要意义。</w:t>
            </w:r>
          </w:p>
          <w:p w14:paraId="13C1E714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sz w:val="21"/>
                <w:szCs w:val="21"/>
              </w:rPr>
              <w:t>RoCE协议通过卸载收/发包的工作到网卡上，减少了系统进入内核态的开销，降低了拷贝、封包解包等操作的开销，从而显著降低了以太网通信的延迟，提高了带宽利用率。此外，RoCE协议还支持IPv4和IPv6，具有多队列支持、硬件无关性和网络层优化等特性，使得它更加适用于现代网络的发展趋势和复杂的应用场景</w:t>
            </w:r>
          </w:p>
          <w:p w14:paraId="10CAB0C7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</w:p>
        </w:tc>
      </w:tr>
      <w:tr w:rsidR="00DC0304" w:rsidRPr="00DC0304" w14:paraId="050ED82D" w14:textId="77777777" w:rsidTr="00147A72">
        <w:tc>
          <w:tcPr>
            <w:tcW w:w="1555" w:type="dxa"/>
            <w:vMerge/>
            <w:vAlign w:val="center"/>
          </w:tcPr>
          <w:p w14:paraId="6BFEBD48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6B053D1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研究目标</w:t>
            </w:r>
          </w:p>
        </w:tc>
        <w:tc>
          <w:tcPr>
            <w:tcW w:w="5324" w:type="dxa"/>
          </w:tcPr>
          <w:p w14:paraId="558C38B0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结合国产高性能网络RoCE的独特优势，深入探索其在高带宽、低延迟、高可靠性等严苛场景中的应用表现，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lastRenderedPageBreak/>
              <w:t>具体涵盖云计算、人工智能、大数据以及高性能计算等领域。</w:t>
            </w:r>
          </w:p>
          <w:p w14:paraId="7F67A7E0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研究采用RoCE网络替代传统FC或IB组网</w:t>
            </w: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的可行性及其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在性能上能够实现的提升比例，以全面评估RoCE网络在实际应用中的效果和价值。</w:t>
            </w:r>
          </w:p>
          <w:p w14:paraId="46A04AD0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在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云计算、人工智能、大数据以及高性能计算等</w:t>
            </w: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应用场景中国产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高性能网络RoCE</w:t>
            </w: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的时延、可靠性的实际测试数据和传统网络的实际测试数据进行对比分析。</w:t>
            </w:r>
          </w:p>
          <w:p w14:paraId="0E62F2F2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研究将FC/IB网络切换至RoCE网络需要满足的最低需求及优化切换方案。</w:t>
            </w:r>
          </w:p>
        </w:tc>
      </w:tr>
      <w:tr w:rsidR="00DC0304" w:rsidRPr="00DC0304" w14:paraId="4D621307" w14:textId="77777777" w:rsidTr="00147A72">
        <w:tc>
          <w:tcPr>
            <w:tcW w:w="1555" w:type="dxa"/>
            <w:vMerge/>
            <w:vAlign w:val="center"/>
          </w:tcPr>
          <w:p w14:paraId="2587FAE9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CB177D6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输出成果</w:t>
            </w:r>
          </w:p>
        </w:tc>
        <w:tc>
          <w:tcPr>
            <w:tcW w:w="5324" w:type="dxa"/>
          </w:tcPr>
          <w:p w14:paraId="6F4F399C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技术方案，包括将FC/IB网络切换至RoCE网络的可行性分析，优化切换方案。</w:t>
            </w:r>
          </w:p>
        </w:tc>
      </w:tr>
      <w:tr w:rsidR="00DC0304" w:rsidRPr="00DC0304" w14:paraId="7B0CE182" w14:textId="77777777" w:rsidTr="00147A72">
        <w:tc>
          <w:tcPr>
            <w:tcW w:w="1555" w:type="dxa"/>
            <w:vAlign w:val="center"/>
          </w:tcPr>
          <w:p w14:paraId="4680C909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评价指标</w:t>
            </w:r>
          </w:p>
        </w:tc>
        <w:tc>
          <w:tcPr>
            <w:tcW w:w="6741" w:type="dxa"/>
            <w:gridSpan w:val="2"/>
          </w:tcPr>
          <w:p w14:paraId="55AD41C6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（请详细阐述项目评价的核心指标或验收标准）</w:t>
            </w:r>
          </w:p>
          <w:p w14:paraId="72C12B28" w14:textId="77777777" w:rsidR="00DC0304" w:rsidRPr="00DC0304" w:rsidRDefault="00DC0304" w:rsidP="00DC0304">
            <w:pPr>
              <w:widowControl/>
              <w:numPr>
                <w:ilvl w:val="0"/>
                <w:numId w:val="2"/>
              </w:numPr>
              <w:shd w:val="clear" w:color="auto" w:fill="FCFCFF"/>
              <w:snapToGrid/>
              <w:spacing w:after="100" w:afterAutospacing="1" w:line="240" w:lineRule="auto"/>
              <w:ind w:firstLineChars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b/>
                <w:bCs/>
                <w:sz w:val="21"/>
                <w:szCs w:val="21"/>
              </w:rPr>
              <w:t>时延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：时延是衡量网络通信性能的重要指标之一。在本项目中，我们将测试并对比RoCE与传统网络在云计算、人工智能、大数据和高性能计算等应用场景中的平均时延、最大时延和最小时延。验收标准将基于实际应用需求，设定合理的时延阈值，确保RoCE网络在实际应用中的时延表现优于或至少与传统网络相当。</w:t>
            </w:r>
          </w:p>
          <w:p w14:paraId="77A1A2C0" w14:textId="77777777" w:rsidR="00DC0304" w:rsidRPr="00DC0304" w:rsidRDefault="00DC0304" w:rsidP="00DC0304">
            <w:pPr>
              <w:widowControl/>
              <w:numPr>
                <w:ilvl w:val="0"/>
                <w:numId w:val="2"/>
              </w:numPr>
              <w:shd w:val="clear" w:color="auto" w:fill="FCFCFF"/>
              <w:snapToGrid/>
              <w:spacing w:before="60" w:after="100" w:afterAutospacing="1" w:line="240" w:lineRule="auto"/>
              <w:ind w:firstLineChars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b/>
                <w:bCs/>
                <w:sz w:val="21"/>
                <w:szCs w:val="21"/>
              </w:rPr>
              <w:t>可靠性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：可靠性是网络通信系统的关键性能指标。我们将通过测试网络包的丢失率、重传率以及连接稳定性等指标来评估RoCE与传统网络的可靠性。验收标准将设定网络包的丢失率和重传率的上限，以及连接稳定性的最低要求，以确保RoCE网络在实际应用中具有高度的可靠性。</w:t>
            </w:r>
          </w:p>
          <w:p w14:paraId="0EED9E75" w14:textId="77777777" w:rsidR="00DC0304" w:rsidRPr="00DC0304" w:rsidRDefault="00DC0304" w:rsidP="00DC0304">
            <w:pPr>
              <w:widowControl/>
              <w:numPr>
                <w:ilvl w:val="0"/>
                <w:numId w:val="2"/>
              </w:numPr>
              <w:shd w:val="clear" w:color="auto" w:fill="FCFCFF"/>
              <w:snapToGrid/>
              <w:spacing w:before="60" w:after="100" w:afterAutospacing="1" w:line="240" w:lineRule="auto"/>
              <w:ind w:firstLineChars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b/>
                <w:bCs/>
                <w:sz w:val="21"/>
                <w:szCs w:val="21"/>
              </w:rPr>
              <w:t>切换时间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：FC/IB网络切换至RoCE网络的切换时间也是项目评价的重要指标之一。我们将测试并记录从FC/IB网络切换至RoCE网络的平均切换时间、最大切换时间和最小切换时间。验收标准将设定合理的切换时间阈值，以确保切换过程不会对业务造成明显的影响。</w:t>
            </w:r>
          </w:p>
          <w:p w14:paraId="4CE4A7F9" w14:textId="77777777" w:rsidR="00DC0304" w:rsidRPr="00DC0304" w:rsidRDefault="00DC0304" w:rsidP="00DC0304">
            <w:pPr>
              <w:widowControl/>
              <w:numPr>
                <w:ilvl w:val="0"/>
                <w:numId w:val="2"/>
              </w:numPr>
              <w:shd w:val="clear" w:color="auto" w:fill="FCFCFF"/>
              <w:snapToGrid/>
              <w:spacing w:before="60" w:after="100" w:afterAutospacing="1" w:line="240" w:lineRule="auto"/>
              <w:ind w:firstLineChars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DC0304">
              <w:rPr>
                <w:rFonts w:ascii="宋体" w:eastAsia="宋体" w:hAnsi="宋体"/>
                <w:b/>
                <w:bCs/>
                <w:sz w:val="21"/>
                <w:szCs w:val="21"/>
              </w:rPr>
              <w:t>最低需求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：为满足FC/IB网络切换至RoCE网络的需求，我们将评估所需的硬件设备、软件配置以及网络拓扑等方面的最低要求。验收标准将基于实际需求，设定合理的最低需求清单，以确保切换过程的顺利进行。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并根据切换时所发生的问题进行程序或软硬件优化</w:t>
            </w:r>
          </w:p>
        </w:tc>
      </w:tr>
      <w:tr w:rsidR="00DC0304" w:rsidRPr="00DC0304" w14:paraId="7EBC1A6B" w14:textId="77777777" w:rsidTr="00147A72">
        <w:tc>
          <w:tcPr>
            <w:tcW w:w="1555" w:type="dxa"/>
            <w:vAlign w:val="center"/>
          </w:tcPr>
          <w:p w14:paraId="38342134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提交材料</w:t>
            </w:r>
          </w:p>
        </w:tc>
        <w:tc>
          <w:tcPr>
            <w:tcW w:w="6741" w:type="dxa"/>
            <w:gridSpan w:val="2"/>
          </w:tcPr>
          <w:p w14:paraId="42EA8DCD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（请详细阐述团队最终提交的对策方案中需展示的核心内容，如技术手段、创新点、基于场景的实物功能展示等）</w:t>
            </w:r>
          </w:p>
          <w:p w14:paraId="3B4EB702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提交的材料中，核心是技术研究报告，报告内容包括：数据收集、数据分析、优化切换流程设计，实物验证或仿真验证结果。</w:t>
            </w:r>
          </w:p>
          <w:p w14:paraId="55CF90C8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其中，</w:t>
            </w:r>
          </w:p>
          <w:p w14:paraId="16F22652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数据收集通过监控软件收集网络时延，网络流量等数据。</w:t>
            </w:r>
          </w:p>
          <w:p w14:paraId="62B4CD36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数据分析采集数据后进行数据聚合、存储、阈值点识别标记，为后续网优提供数据支撑</w:t>
            </w:r>
          </w:p>
          <w:p w14:paraId="4D317E03" w14:textId="77777777" w:rsidR="00DC0304" w:rsidRPr="00DC0304" w:rsidRDefault="00DC0304" w:rsidP="00DC0304">
            <w:pPr>
              <w:snapToGrid/>
              <w:spacing w:line="240" w:lineRule="auto"/>
              <w:ind w:firstLine="42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优化切换流程，通过机器学习，数据分析寻找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FC/IB网络切换至RoCE网络的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最低</w:t>
            </w:r>
            <w:r w:rsidRPr="00DC0304">
              <w:rPr>
                <w:rFonts w:ascii="宋体" w:eastAsia="宋体" w:hAnsi="宋体"/>
                <w:sz w:val="21"/>
                <w:szCs w:val="21"/>
              </w:rPr>
              <w:t>需求</w:t>
            </w:r>
            <w:r w:rsidRPr="00DC0304">
              <w:rPr>
                <w:rFonts w:ascii="宋体" w:eastAsia="宋体" w:hAnsi="宋体" w:hint="eastAsia"/>
                <w:sz w:val="21"/>
                <w:szCs w:val="21"/>
              </w:rPr>
              <w:t>和最快时间。</w:t>
            </w:r>
          </w:p>
        </w:tc>
      </w:tr>
      <w:tr w:rsidR="00DC0304" w:rsidRPr="00DC0304" w14:paraId="5B9E79AF" w14:textId="77777777" w:rsidTr="00147A72">
        <w:tc>
          <w:tcPr>
            <w:tcW w:w="1555" w:type="dxa"/>
            <w:vAlign w:val="center"/>
          </w:tcPr>
          <w:p w14:paraId="114E7934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lastRenderedPageBreak/>
              <w:t>答题所需软硬件资源</w:t>
            </w:r>
          </w:p>
        </w:tc>
        <w:tc>
          <w:tcPr>
            <w:tcW w:w="6741" w:type="dxa"/>
            <w:gridSpan w:val="2"/>
          </w:tcPr>
          <w:p w14:paraId="0A8C7CF6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（请写明团队完成命题必要的软硬件资源）</w:t>
            </w:r>
          </w:p>
          <w:p w14:paraId="4AA29E44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国产Roce网络交换机，测试用计算服务器，测试用管理服务器，SDN控制器等。</w:t>
            </w:r>
          </w:p>
        </w:tc>
      </w:tr>
      <w:tr w:rsidR="00DC0304" w:rsidRPr="00DC0304" w14:paraId="173B56D6" w14:textId="77777777" w:rsidTr="00147A72">
        <w:tc>
          <w:tcPr>
            <w:tcW w:w="1555" w:type="dxa"/>
            <w:vAlign w:val="center"/>
          </w:tcPr>
          <w:p w14:paraId="69AF0663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  <w:gridSpan w:val="2"/>
          </w:tcPr>
          <w:p w14:paraId="7A94FFAB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（企业为参赛团队提供的技术支持、软硬件资源配套，包括线上命题宣讲、赛题辅导、线下活动等）</w:t>
            </w:r>
          </w:p>
          <w:p w14:paraId="41213F0E" w14:textId="77777777" w:rsidR="00DC0304" w:rsidRPr="00DC0304" w:rsidRDefault="00DC0304" w:rsidP="00DC0304">
            <w:pPr>
              <w:numPr>
                <w:ilvl w:val="0"/>
                <w:numId w:val="3"/>
              </w:numPr>
              <w:snapToGrid/>
              <w:spacing w:line="240" w:lineRule="auto"/>
              <w:ind w:firstLineChars="0"/>
              <w:jc w:val="left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技术咨询和规划：企业可以提供专业的技术团队，为参赛队员进行题目讲解和必要的一对一辅导。</w:t>
            </w:r>
          </w:p>
          <w:p w14:paraId="337CC059" w14:textId="77777777" w:rsidR="00DC0304" w:rsidRPr="00DC0304" w:rsidRDefault="00DC0304" w:rsidP="00DC0304">
            <w:pPr>
              <w:numPr>
                <w:ilvl w:val="0"/>
                <w:numId w:val="3"/>
              </w:numPr>
              <w:snapToGrid/>
              <w:spacing w:line="240" w:lineRule="auto"/>
              <w:ind w:firstLineChars="0"/>
              <w:jc w:val="left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设备供应和部署：决赛阶段，企业可以提供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RoCE</w:t>
            </w: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组网相关的设备和软硬件产品，并负责设备的安装、调试和部署工作，确保无线网络的顺利实施。</w:t>
            </w:r>
          </w:p>
          <w:p w14:paraId="53EBDC04" w14:textId="77777777" w:rsidR="00DC0304" w:rsidRPr="00DC0304" w:rsidRDefault="00DC0304" w:rsidP="00DC0304">
            <w:pPr>
              <w:numPr>
                <w:ilvl w:val="0"/>
                <w:numId w:val="3"/>
              </w:numPr>
              <w:snapToGrid/>
              <w:spacing w:line="240" w:lineRule="auto"/>
              <w:ind w:firstLineChars="0"/>
              <w:jc w:val="left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培训和支持：企业可以提供相关的培训课程和支持服务，帮助参赛队伍了解新技术的特点，掌握网络设备的使用和维护技能。</w:t>
            </w:r>
          </w:p>
          <w:p w14:paraId="1A645C73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</w:p>
        </w:tc>
      </w:tr>
      <w:tr w:rsidR="00DC0304" w:rsidRPr="00DC0304" w14:paraId="01C0787C" w14:textId="77777777" w:rsidTr="00147A72">
        <w:tc>
          <w:tcPr>
            <w:tcW w:w="1555" w:type="dxa"/>
            <w:vAlign w:val="center"/>
          </w:tcPr>
          <w:p w14:paraId="5A7F05EA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政策支持</w:t>
            </w:r>
          </w:p>
        </w:tc>
        <w:tc>
          <w:tcPr>
            <w:tcW w:w="6741" w:type="dxa"/>
            <w:gridSpan w:val="2"/>
          </w:tcPr>
          <w:p w14:paraId="5612C85C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（企业在优秀项目成果知识产权转化、优秀学生技术认证、实习和就业等方面能够提供的支持）</w:t>
            </w:r>
          </w:p>
          <w:p w14:paraId="299D4FE8" w14:textId="77777777" w:rsidR="00DC0304" w:rsidRPr="00DC0304" w:rsidRDefault="00DC0304" w:rsidP="00DC0304">
            <w:pPr>
              <w:numPr>
                <w:ilvl w:val="0"/>
                <w:numId w:val="4"/>
              </w:numPr>
              <w:snapToGrid/>
              <w:spacing w:line="240" w:lineRule="auto"/>
              <w:ind w:left="37" w:firstLineChars="0" w:firstLine="0"/>
              <w:jc w:val="left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企业与</w:t>
            </w: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参赛队伍及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学校合作进行知识产权转化，与学校共同申请相关技术的专利，共享项目成果的知识产权，以促进成果的商业化应用和推广。</w:t>
            </w:r>
          </w:p>
          <w:p w14:paraId="130F52FF" w14:textId="77777777" w:rsidR="00DC0304" w:rsidRPr="00DC0304" w:rsidRDefault="00DC0304" w:rsidP="00DC0304">
            <w:pPr>
              <w:numPr>
                <w:ilvl w:val="0"/>
                <w:numId w:val="4"/>
              </w:numPr>
              <w:snapToGrid/>
              <w:spacing w:line="240" w:lineRule="auto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企业</w:t>
            </w: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可为参赛学生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提供相关的技术认证课程和考试，帮助他们获得相关领域的专业认证。</w:t>
            </w:r>
          </w:p>
          <w:p w14:paraId="4DEFC0B3" w14:textId="77777777" w:rsidR="00DC0304" w:rsidRPr="00DC0304" w:rsidRDefault="00DC0304" w:rsidP="00DC0304">
            <w:pPr>
              <w:numPr>
                <w:ilvl w:val="0"/>
                <w:numId w:val="4"/>
              </w:numPr>
              <w:snapToGrid/>
              <w:spacing w:line="240" w:lineRule="auto"/>
              <w:ind w:left="37" w:firstLineChars="0" w:firstLine="0"/>
              <w:jc w:val="left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企业为获奖</w:t>
            </w:r>
            <w:r w:rsidRPr="00DC0304"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  <w:t>学生提供实习和就业机会，开展校企合作项目，向优秀的学生提供实践机会，并为他们提供就业指导和支持。</w:t>
            </w:r>
          </w:p>
        </w:tc>
      </w:tr>
      <w:tr w:rsidR="00DC0304" w:rsidRPr="00DC0304" w14:paraId="5BCF606E" w14:textId="77777777" w:rsidTr="00147A72">
        <w:tc>
          <w:tcPr>
            <w:tcW w:w="1555" w:type="dxa"/>
            <w:vAlign w:val="center"/>
          </w:tcPr>
          <w:p w14:paraId="4FDADE46" w14:textId="77777777" w:rsidR="00DC0304" w:rsidRPr="00B31EA9" w:rsidRDefault="00DC0304" w:rsidP="00DC0304">
            <w:pPr>
              <w:snapToGrid/>
              <w:spacing w:line="240" w:lineRule="auto"/>
              <w:ind w:firstLineChars="0" w:firstLine="0"/>
              <w:rPr>
                <w:rFonts w:ascii="仿宋" w:hAnsi="仿宋"/>
                <w:sz w:val="28"/>
                <w:szCs w:val="28"/>
              </w:rPr>
            </w:pPr>
            <w:r w:rsidRPr="00B31EA9">
              <w:rPr>
                <w:rFonts w:ascii="仿宋" w:hAnsi="仿宋"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  <w:gridSpan w:val="2"/>
          </w:tcPr>
          <w:p w14:paraId="1A8E0A3C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  <w:shd w:val="clear" w:color="auto" w:fill="FFFFFF"/>
              </w:rPr>
            </w:pPr>
            <w:r w:rsidRPr="00DC0304">
              <w:rPr>
                <w:rFonts w:ascii="宋体" w:eastAsia="宋体" w:hAnsi="宋体" w:hint="eastAsia"/>
                <w:sz w:val="21"/>
                <w:szCs w:val="21"/>
                <w:shd w:val="clear" w:color="auto" w:fill="FFFFFF"/>
              </w:rPr>
              <w:t>（比赛相关的未尽事宜）</w:t>
            </w:r>
          </w:p>
          <w:p w14:paraId="562B725E" w14:textId="77777777" w:rsidR="00DC0304" w:rsidRPr="00DC0304" w:rsidRDefault="00DC0304" w:rsidP="00DC0304">
            <w:pPr>
              <w:snapToGrid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3DB34576" w14:textId="77777777" w:rsidR="00DC0304" w:rsidRPr="00DC0304" w:rsidRDefault="00DC0304" w:rsidP="00DC0304">
      <w:pPr>
        <w:snapToGrid/>
        <w:spacing w:line="240" w:lineRule="auto"/>
        <w:ind w:firstLineChars="0" w:firstLine="0"/>
        <w:rPr>
          <w:rFonts w:ascii="Calibri" w:eastAsia="宋体" w:hAnsi="Calibri"/>
          <w:sz w:val="21"/>
          <w:szCs w:val="22"/>
        </w:rPr>
      </w:pPr>
    </w:p>
    <w:p w14:paraId="60E83224" w14:textId="77777777" w:rsidR="00E87C4B" w:rsidRPr="00DC0304" w:rsidRDefault="00E87C4B">
      <w:pPr>
        <w:ind w:firstLine="480"/>
      </w:pPr>
    </w:p>
    <w:sectPr w:rsidR="00E87C4B" w:rsidRPr="00DC03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298CC" w14:textId="77777777" w:rsidR="00796E54" w:rsidRDefault="00796E54" w:rsidP="00DC0304">
      <w:pPr>
        <w:spacing w:line="240" w:lineRule="auto"/>
        <w:ind w:firstLine="480"/>
      </w:pPr>
      <w:r>
        <w:separator/>
      </w:r>
    </w:p>
  </w:endnote>
  <w:endnote w:type="continuationSeparator" w:id="0">
    <w:p w14:paraId="171E2A79" w14:textId="77777777" w:rsidR="00796E54" w:rsidRDefault="00796E54" w:rsidP="00DC030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19E77" w14:textId="77777777" w:rsidR="00DC0304" w:rsidRDefault="00DC0304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9933" w14:textId="77777777" w:rsidR="00DC0304" w:rsidRDefault="00DC0304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49E48" w14:textId="77777777" w:rsidR="00DC0304" w:rsidRDefault="00DC0304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730DF" w14:textId="77777777" w:rsidR="00796E54" w:rsidRDefault="00796E54" w:rsidP="00DC0304">
      <w:pPr>
        <w:spacing w:line="240" w:lineRule="auto"/>
        <w:ind w:firstLine="480"/>
      </w:pPr>
      <w:r>
        <w:separator/>
      </w:r>
    </w:p>
  </w:footnote>
  <w:footnote w:type="continuationSeparator" w:id="0">
    <w:p w14:paraId="7B0DDDC3" w14:textId="77777777" w:rsidR="00796E54" w:rsidRDefault="00796E54" w:rsidP="00DC030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3D324" w14:textId="77777777" w:rsidR="00DC0304" w:rsidRDefault="00DC0304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D074B" w14:textId="77777777" w:rsidR="00DC0304" w:rsidRDefault="00DC0304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0C371" w14:textId="77777777" w:rsidR="00DC0304" w:rsidRDefault="00DC030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B5912"/>
    <w:multiLevelType w:val="hybridMultilevel"/>
    <w:tmpl w:val="871E33FC"/>
    <w:lvl w:ilvl="0" w:tplc="3F5AC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77746F6"/>
    <w:multiLevelType w:val="hybridMultilevel"/>
    <w:tmpl w:val="E32CA652"/>
    <w:lvl w:ilvl="0" w:tplc="35E048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3626F2"/>
    <w:multiLevelType w:val="multilevel"/>
    <w:tmpl w:val="EF36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DE2D9E"/>
    <w:multiLevelType w:val="hybridMultilevel"/>
    <w:tmpl w:val="63669540"/>
    <w:lvl w:ilvl="0" w:tplc="089EC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9021145">
    <w:abstractNumId w:val="0"/>
  </w:num>
  <w:num w:numId="2" w16cid:durableId="1012952650">
    <w:abstractNumId w:val="1"/>
  </w:num>
  <w:num w:numId="3" w16cid:durableId="2120761934">
    <w:abstractNumId w:val="3"/>
  </w:num>
  <w:num w:numId="4" w16cid:durableId="853570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92"/>
    <w:rsid w:val="00262B12"/>
    <w:rsid w:val="004801EC"/>
    <w:rsid w:val="00796E54"/>
    <w:rsid w:val="007E0B07"/>
    <w:rsid w:val="00876103"/>
    <w:rsid w:val="00B24241"/>
    <w:rsid w:val="00B31EA9"/>
    <w:rsid w:val="00BC746E"/>
    <w:rsid w:val="00D77892"/>
    <w:rsid w:val="00DC0304"/>
    <w:rsid w:val="00E22446"/>
    <w:rsid w:val="00E87C4B"/>
    <w:rsid w:val="00EA568B"/>
    <w:rsid w:val="00EB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83352"/>
  <w15:chartTrackingRefBased/>
  <w15:docId w15:val="{873ACADA-D45C-4697-9342-8AC0B2C4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446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图片"/>
    <w:basedOn w:val="a"/>
    <w:qFormat/>
    <w:rsid w:val="00E22446"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paragraph" w:styleId="a4">
    <w:name w:val="header"/>
    <w:basedOn w:val="a"/>
    <w:link w:val="a5"/>
    <w:uiPriority w:val="99"/>
    <w:unhideWhenUsed/>
    <w:rsid w:val="00DC0304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C0304"/>
    <w:rPr>
      <w:rFonts w:ascii="Times New Roman" w:eastAsia="仿宋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C0304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C0304"/>
    <w:rPr>
      <w:rFonts w:ascii="Times New Roman" w:eastAsia="仿宋" w:hAnsi="Times New Roman" w:cs="Times New Roman"/>
      <w:sz w:val="18"/>
      <w:szCs w:val="18"/>
    </w:rPr>
  </w:style>
  <w:style w:type="table" w:styleId="a8">
    <w:name w:val="Table Grid"/>
    <w:basedOn w:val="a1"/>
    <w:autoRedefine/>
    <w:uiPriority w:val="39"/>
    <w:qFormat/>
    <w:rsid w:val="00DC030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bupt</dc:creator>
  <cp:keywords/>
  <dc:description/>
  <cp:lastModifiedBy>bupt</cp:lastModifiedBy>
  <cp:revision>4</cp:revision>
  <dcterms:created xsi:type="dcterms:W3CDTF">2024-05-13T02:21:00Z</dcterms:created>
  <dcterms:modified xsi:type="dcterms:W3CDTF">2024-06-03T08:31:00Z</dcterms:modified>
</cp:coreProperties>
</file>